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抚州市机关事务管理局项目汇总绩效自评报告</w:t>
      </w:r>
    </w:p>
    <w:p>
      <w:pPr>
        <w:numPr>
          <w:ilvl w:val="0"/>
          <w:numId w:val="1"/>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单位概况</w:t>
      </w:r>
    </w:p>
    <w:p>
      <w:pPr>
        <w:numPr>
          <w:ilvl w:val="0"/>
          <w:numId w:val="2"/>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项目基本情况</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抚州市机关事务管理局及下属单位共有六个项目，其中行政中心、市直楼和城市展览中心运行维护经费787.38万元、行政中心、市直楼和城市展览中心水电、绿化和物业管理经费635.17万元、行政中心、市直集中办公楼和城市展示中心早、中餐费925万元、公共机构节能及公务用车管理专项工作经费20万元、重大应急调研接待平台运行经费390万元、2020年重大应急调研接待平台车辆更新414万元。</w:t>
      </w:r>
    </w:p>
    <w:p>
      <w:pPr>
        <w:numPr>
          <w:ilvl w:val="0"/>
          <w:numId w:val="2"/>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总体目标及开展情况</w:t>
      </w:r>
    </w:p>
    <w:p>
      <w:pPr>
        <w:spacing w:line="570" w:lineRule="exact"/>
        <w:ind w:firstLine="627" w:firstLineChars="196"/>
        <w:rPr>
          <w:rFonts w:hint="eastAsia" w:ascii="宋体" w:hAnsi="宋体" w:eastAsia="宋体" w:cs="宋体"/>
          <w:sz w:val="32"/>
          <w:szCs w:val="32"/>
          <w:lang w:eastAsia="zh-CN"/>
        </w:rPr>
      </w:pPr>
      <w:r>
        <w:rPr>
          <w:rFonts w:hint="eastAsia" w:ascii="宋体" w:hAnsi="宋体" w:eastAsia="宋体" w:cs="宋体"/>
          <w:sz w:val="32"/>
          <w:szCs w:val="32"/>
          <w:lang w:eastAsia="zh-CN"/>
        </w:rPr>
        <w:t>一是</w:t>
      </w:r>
      <w:r>
        <w:rPr>
          <w:rFonts w:hint="eastAsia" w:ascii="宋体" w:hAnsi="宋体" w:eastAsia="宋体" w:cs="宋体"/>
          <w:sz w:val="32"/>
          <w:szCs w:val="32"/>
        </w:rPr>
        <w:t>完成行政中心水电、绿化、物业管理任务，保障行政中心、市直集中大楼和城市规划展示中心的正常办公运行</w:t>
      </w:r>
      <w:r>
        <w:rPr>
          <w:rFonts w:hint="eastAsia" w:ascii="宋体" w:hAnsi="宋体" w:eastAsia="宋体" w:cs="宋体"/>
          <w:sz w:val="32"/>
          <w:szCs w:val="32"/>
          <w:lang w:eastAsia="zh-CN"/>
        </w:rPr>
        <w:t>。二是</w:t>
      </w:r>
      <w:r>
        <w:rPr>
          <w:rFonts w:hint="eastAsia" w:ascii="宋体" w:hAnsi="宋体" w:eastAsia="宋体" w:cs="宋体"/>
          <w:sz w:val="32"/>
          <w:szCs w:val="32"/>
        </w:rPr>
        <w:t>严格贯彻执行中央八项规定，勤俭办一切事业，切实降低行政运行成本，保障行政中心、市直集中办公楼和城市规划展示中心大楼正常运行,降低行政运行成本</w:t>
      </w:r>
      <w:r>
        <w:rPr>
          <w:rFonts w:hint="eastAsia" w:ascii="宋体" w:hAnsi="宋体" w:eastAsia="宋体" w:cs="宋体"/>
          <w:sz w:val="32"/>
          <w:szCs w:val="32"/>
          <w:lang w:eastAsia="zh-CN"/>
        </w:rPr>
        <w:t>。三是保障重大应急接待调研平台正常运行。四是保障行政中心干职工早、中餐。五是保障全市公共机构节能和公务用车管理工作。</w:t>
      </w:r>
    </w:p>
    <w:p>
      <w:pPr>
        <w:numPr>
          <w:ilvl w:val="0"/>
          <w:numId w:val="2"/>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绩效目标及开展情况</w:t>
      </w:r>
    </w:p>
    <w:p>
      <w:pPr>
        <w:spacing w:line="570" w:lineRule="exact"/>
        <w:ind w:firstLine="627" w:firstLineChars="196"/>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是行政中心、市直楼和城市展览中心水电、绿化和物业管理经费完成情况优秀，年初计划的186000平米办公区域物业全覆盖、70%绿化覆盖率、用电度数低于8000000度等三个数量指标、2920小时的行政中心保洁的实效指标都已完成。二是行政中心、市直楼和城市展览中心运行维护经费完成情况优秀，年初计划的186000平米办公区域物业全覆盖、行政中心保卫人员食堂人员工资、行政中心维修管理等三个数量指标及行政中心运行情况的质量指标都完成较好。三是公共机构节能及公务用车管理专项工作经费完成情况优秀，本年度进行全市公共机构节能考评一次，用时3天，考核单位数一百余个，并获得省公共机构节能考评优秀，同时降低了全市的公车排量，完成了可持续效益。四是行政中心、市直集中办公楼和城市展示中心早、中餐费完成优秀，保障了行政中心1500余人的餐饮保障，每日保障餐品数量12个，降低了餐饮浪费，创造工作岗位40余个，获得省市一致好评。五是重大应急调研接待平台运行经费完成优秀，保障了平台39辆公车的正常运行，节省了开支，使每辆公车运行成本控制在10万元/年以下。六是2020年重大应急调研接待平台车辆更新由于落实中央“过紧日子”文件精神，停止购置车辆等固定资产未能完成更新车辆18辆目标。</w:t>
      </w:r>
    </w:p>
    <w:p>
      <w:pPr>
        <w:numPr>
          <w:numId w:val="0"/>
        </w:numPr>
        <w:ind w:leftChars="0"/>
        <w:rPr>
          <w:rFonts w:hint="default"/>
          <w:lang w:val="en-US" w:eastAsia="zh-CN"/>
        </w:rPr>
      </w:pPr>
    </w:p>
    <w:p>
      <w:pPr>
        <w:numPr>
          <w:ilvl w:val="0"/>
          <w:numId w:val="1"/>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综合评价结论及完成情况总体分析</w:t>
      </w:r>
    </w:p>
    <w:p>
      <w:pPr>
        <w:numPr>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抚州市机关事务管理局总体绩效自评为优</w:t>
      </w:r>
    </w:p>
    <w:p>
      <w:pPr>
        <w:numPr>
          <w:ilvl w:val="0"/>
          <w:numId w:val="3"/>
        </w:numPr>
        <w:ind w:left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项目绩效完成情况</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数量指标：行政中心物业管理完成18.6万平米/年管理覆盖、行政中心绿化养护完成70%覆盖率、完成800万度电量供应、完成2920小时保洁服务，完成空调、消防、监控维保全覆盖。</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质量指标：完成行政中心办公楼正常运行、完成行政中心机关食堂正常运行、完成周转房保障、完成重大平台保障。</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时效指标：完成行政中心保卫、保洁、水电、物管全年保障。</w:t>
      </w:r>
    </w:p>
    <w:p>
      <w:pPr>
        <w:numPr>
          <w:ilvl w:val="0"/>
          <w:numId w:val="3"/>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项目绩效效果情况</w:t>
      </w:r>
    </w:p>
    <w:p>
      <w:pPr>
        <w:numPr>
          <w:numId w:val="0"/>
        </w:numPr>
        <w:ind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社会效益：创造工作岗位100余个、全市能耗应公共机构节能工作的顺利开展而降低。</w:t>
      </w:r>
    </w:p>
    <w:p>
      <w:pPr>
        <w:numPr>
          <w:numId w:val="0"/>
        </w:numPr>
        <w:ind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生态效益：行政中心食堂厨余垃圾较上年降低三分之二。</w:t>
      </w:r>
    </w:p>
    <w:p>
      <w:pPr>
        <w:numPr>
          <w:ilvl w:val="0"/>
          <w:numId w:val="3"/>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社会满意度</w:t>
      </w:r>
    </w:p>
    <w:p>
      <w:pPr>
        <w:numPr>
          <w:numId w:val="0"/>
        </w:numPr>
        <w:ind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市机关事务管理局项目支出实现满意度指标：社会公众和服务对象满意度90%。</w:t>
      </w:r>
    </w:p>
    <w:p>
      <w:pPr>
        <w:numPr>
          <w:numId w:val="0"/>
        </w:numPr>
        <w:ind w:leftChars="0"/>
        <w:rPr>
          <w:rFonts w:hint="default"/>
          <w:lang w:val="en-US" w:eastAsia="zh-CN"/>
        </w:rPr>
      </w:pPr>
    </w:p>
    <w:p>
      <w:pPr>
        <w:numPr>
          <w:ilvl w:val="0"/>
          <w:numId w:val="1"/>
        </w:numPr>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绩效中存在的问题及改进措施</w:t>
      </w:r>
    </w:p>
    <w:p>
      <w:pPr>
        <w:numPr>
          <w:ilvl w:val="0"/>
          <w:numId w:val="4"/>
        </w:numPr>
        <w:ind w:left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主要问题及原因分析</w:t>
      </w:r>
    </w:p>
    <w:p>
      <w:pPr>
        <w:numPr>
          <w:ilvl w:val="0"/>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一是项目绩效管理缺乏系统性。二是项目绩效管理缺乏激励性。三是干职工对项目绩效管理缺乏统一认识。</w:t>
      </w:r>
    </w:p>
    <w:p>
      <w:pPr>
        <w:numPr>
          <w:ilvl w:val="0"/>
          <w:numId w:val="4"/>
        </w:numPr>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改进的方向和具体措施</w:t>
      </w:r>
    </w:p>
    <w:p>
      <w:pPr>
        <w:numPr>
          <w:ilvl w:val="0"/>
          <w:numId w:val="0"/>
        </w:numPr>
        <w:ind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一是树立以过“紧日子”、节约运行成本的项目绩效管理理念。二是建立系统的项目绩效管理体系。三是建立完善的项目绩效激励体系。</w:t>
      </w:r>
    </w:p>
    <w:p>
      <w:pPr>
        <w:numPr>
          <w:ilvl w:val="0"/>
          <w:numId w:val="0"/>
        </w:numPr>
        <w:ind w:leftChars="0" w:firstLine="640" w:firstLineChars="200"/>
        <w:jc w:val="both"/>
        <w:rPr>
          <w:rFonts w:hint="eastAsia" w:ascii="宋体" w:hAnsi="宋体" w:eastAsia="宋体" w:cs="宋体"/>
          <w:sz w:val="32"/>
          <w:szCs w:val="32"/>
          <w:lang w:val="en-US" w:eastAsia="zh-CN"/>
        </w:rPr>
      </w:pPr>
    </w:p>
    <w:p>
      <w:pPr>
        <w:numPr>
          <w:ilvl w:val="0"/>
          <w:numId w:val="0"/>
        </w:num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四、绩效自评结果应用和公开情况</w:t>
      </w:r>
    </w:p>
    <w:p>
      <w:pPr>
        <w:numPr>
          <w:numId w:val="0"/>
        </w:numPr>
        <w:ind w:leftChars="0" w:firstLine="640" w:firstLineChars="200"/>
        <w:rPr>
          <w:rFonts w:hint="default"/>
          <w:sz w:val="32"/>
          <w:szCs w:val="32"/>
          <w:lang w:val="en-US" w:eastAsia="zh-CN"/>
        </w:rPr>
      </w:pPr>
      <w:r>
        <w:rPr>
          <w:rFonts w:hint="eastAsia"/>
          <w:sz w:val="32"/>
          <w:szCs w:val="32"/>
          <w:lang w:val="en-US" w:eastAsia="zh-CN"/>
        </w:rPr>
        <w:t>重视预算绩效评价结果应用和公开。对预算绩效自评发现的问题，及时改进。按照统一时点公开绩效自评报告，接受社会监督。</w:t>
      </w:r>
      <w:bookmarkStart w:id="0" w:name="_GoBack"/>
      <w:bookmarkEnd w:id="0"/>
    </w:p>
    <w:p>
      <w:pPr>
        <w:numPr>
          <w:numId w:val="0"/>
        </w:numPr>
        <w:ind w:leftChars="0"/>
        <w:rPr>
          <w:rFonts w:hint="default"/>
          <w:lang w:val="en-US" w:eastAsia="zh-CN"/>
        </w:rPr>
      </w:pPr>
    </w:p>
    <w:p>
      <w:pPr>
        <w:numPr>
          <w:numId w:val="0"/>
        </w:numPr>
        <w:rPr>
          <w:rFonts w:hint="default"/>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3568E"/>
    <w:multiLevelType w:val="singleLevel"/>
    <w:tmpl w:val="80E3568E"/>
    <w:lvl w:ilvl="0" w:tentative="0">
      <w:start w:val="1"/>
      <w:numFmt w:val="chineseCounting"/>
      <w:suff w:val="nothing"/>
      <w:lvlText w:val="（%1）"/>
      <w:lvlJc w:val="left"/>
      <w:rPr>
        <w:rFonts w:hint="eastAsia"/>
      </w:rPr>
    </w:lvl>
  </w:abstractNum>
  <w:abstractNum w:abstractNumId="1">
    <w:nsid w:val="8C1496AC"/>
    <w:multiLevelType w:val="singleLevel"/>
    <w:tmpl w:val="8C1496AC"/>
    <w:lvl w:ilvl="0" w:tentative="0">
      <w:start w:val="1"/>
      <w:numFmt w:val="chineseCounting"/>
      <w:suff w:val="nothing"/>
      <w:lvlText w:val="（%1）"/>
      <w:lvlJc w:val="left"/>
      <w:rPr>
        <w:rFonts w:hint="eastAsia"/>
      </w:rPr>
    </w:lvl>
  </w:abstractNum>
  <w:abstractNum w:abstractNumId="2">
    <w:nsid w:val="D645AC2B"/>
    <w:multiLevelType w:val="singleLevel"/>
    <w:tmpl w:val="D645AC2B"/>
    <w:lvl w:ilvl="0" w:tentative="0">
      <w:start w:val="1"/>
      <w:numFmt w:val="chineseCounting"/>
      <w:suff w:val="nothing"/>
      <w:lvlText w:val="%1、"/>
      <w:lvlJc w:val="left"/>
      <w:rPr>
        <w:rFonts w:hint="eastAsia"/>
      </w:rPr>
    </w:lvl>
  </w:abstractNum>
  <w:abstractNum w:abstractNumId="3">
    <w:nsid w:val="755D2ED4"/>
    <w:multiLevelType w:val="singleLevel"/>
    <w:tmpl w:val="755D2ED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2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2021-04-15T00:34:52Z</dcterms:created>
  <dc:creator>Administrator</dc:creator>
  <cp:lastModifiedBy>Administrator</cp:lastModifiedBy>
  <dcterms:modified xsi:type="dcterms:W3CDTF">2021-04-15T00:52:45Z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